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3D91" w14:textId="77777777" w:rsidR="001F024D" w:rsidRDefault="001F024D" w:rsidP="001F024D">
      <w:pPr>
        <w:jc w:val="center"/>
        <w:rPr>
          <w:noProof/>
          <w:sz w:val="28"/>
          <w:szCs w:val="28"/>
          <w:lang w:val="sv-SE"/>
        </w:rPr>
      </w:pPr>
      <w:bookmarkStart w:id="0" w:name="_Hlk125641763"/>
      <w:bookmarkEnd w:id="0"/>
    </w:p>
    <w:p w14:paraId="38E999E0" w14:textId="77777777" w:rsidR="00011BB8" w:rsidRDefault="00C61C45" w:rsidP="00C61C45">
      <w:pPr>
        <w:jc w:val="center"/>
        <w:rPr>
          <w:sz w:val="28"/>
          <w:szCs w:val="28"/>
          <w:lang w:val="en-IE"/>
        </w:rPr>
      </w:pPr>
      <w:r>
        <w:rPr>
          <w:noProof/>
          <w:sz w:val="28"/>
          <w:szCs w:val="28"/>
          <w:lang w:val="sv-SE"/>
        </w:rPr>
        <w:drawing>
          <wp:inline distT="0" distB="0" distL="0" distR="0" wp14:anchorId="0EE227BF" wp14:editId="619D8706">
            <wp:extent cx="904875" cy="356761"/>
            <wp:effectExtent l="0" t="0" r="0" b="5715"/>
            <wp:docPr id="6" name="Picture 6" descr="A group of horses runn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horses running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953" cy="35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2E3D">
        <w:rPr>
          <w:sz w:val="28"/>
          <w:szCs w:val="28"/>
          <w:lang w:val="en-IE"/>
        </w:rPr>
        <w:t xml:space="preserve">     </w:t>
      </w:r>
    </w:p>
    <w:p w14:paraId="1ED0A4F0" w14:textId="26C1AA46" w:rsidR="00C61C45" w:rsidRPr="005601ED" w:rsidRDefault="007A33C5" w:rsidP="00C61C45">
      <w:pPr>
        <w:jc w:val="center"/>
        <w:rPr>
          <w:rFonts w:ascii="Arial Rounded MT Bold" w:hAnsi="Arial Rounded MT Bold"/>
          <w:color w:val="000000" w:themeColor="text1"/>
          <w:sz w:val="28"/>
          <w:szCs w:val="28"/>
          <w:lang w:val="en-IE"/>
        </w:rPr>
      </w:pPr>
      <w:r w:rsidRPr="005601ED">
        <w:rPr>
          <w:rFonts w:ascii="Arial Rounded MT Bold" w:hAnsi="Arial Rounded MT Bold"/>
          <w:color w:val="000000" w:themeColor="text1"/>
          <w:sz w:val="28"/>
          <w:szCs w:val="28"/>
          <w:lang w:val="en-IE"/>
        </w:rPr>
        <w:t xml:space="preserve">Mullingar </w:t>
      </w:r>
      <w:r w:rsidR="00192E3D" w:rsidRPr="005601ED">
        <w:rPr>
          <w:rFonts w:ascii="Arial Rounded MT Bold" w:hAnsi="Arial Rounded MT Bold"/>
          <w:color w:val="000000" w:themeColor="text1"/>
          <w:sz w:val="28"/>
          <w:szCs w:val="28"/>
          <w:lang w:val="en-IE"/>
        </w:rPr>
        <w:t>Rising Stars</w:t>
      </w:r>
      <w:r w:rsidR="00F066FD" w:rsidRPr="005601ED">
        <w:rPr>
          <w:rFonts w:ascii="Arial Rounded MT Bold" w:hAnsi="Arial Rounded MT Bold"/>
          <w:color w:val="000000" w:themeColor="text1"/>
          <w:sz w:val="28"/>
          <w:szCs w:val="28"/>
          <w:lang w:val="en-IE"/>
        </w:rPr>
        <w:t xml:space="preserve"> Young Horse</w:t>
      </w:r>
      <w:r w:rsidR="004E06C8" w:rsidRPr="005601ED">
        <w:rPr>
          <w:rFonts w:ascii="Arial Rounded MT Bold" w:hAnsi="Arial Rounded MT Bold"/>
          <w:color w:val="000000" w:themeColor="text1"/>
          <w:sz w:val="28"/>
          <w:szCs w:val="28"/>
          <w:lang w:val="en-IE"/>
        </w:rPr>
        <w:t xml:space="preserve"> </w:t>
      </w:r>
      <w:r w:rsidRPr="005601ED">
        <w:rPr>
          <w:rFonts w:ascii="Arial Rounded MT Bold" w:hAnsi="Arial Rounded MT Bold"/>
          <w:color w:val="000000" w:themeColor="text1"/>
          <w:sz w:val="28"/>
          <w:szCs w:val="28"/>
          <w:lang w:val="en-IE"/>
        </w:rPr>
        <w:t>Series</w:t>
      </w:r>
      <w:r w:rsidR="00C61C45" w:rsidRPr="005601ED">
        <w:rPr>
          <w:rFonts w:ascii="Arial Rounded MT Bold" w:hAnsi="Arial Rounded MT Bold"/>
          <w:color w:val="000000" w:themeColor="text1"/>
          <w:sz w:val="28"/>
          <w:szCs w:val="28"/>
          <w:lang w:val="en-IE"/>
        </w:rPr>
        <w:t xml:space="preserve"> 2023</w:t>
      </w:r>
    </w:p>
    <w:p w14:paraId="5C688FC4" w14:textId="3B32D139" w:rsidR="00A0464E" w:rsidRPr="00A869E7" w:rsidRDefault="00A0464E" w:rsidP="00A869E7">
      <w:pPr>
        <w:rPr>
          <w:b/>
          <w:bCs/>
          <w:color w:val="1F497D"/>
          <w:sz w:val="20"/>
          <w:szCs w:val="20"/>
          <w:lang w:val="en-IE"/>
        </w:rPr>
      </w:pPr>
      <w:r w:rsidRPr="005601ED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Mullingar Equestrian Centre is delighted to introduce a new </w:t>
      </w:r>
      <w:r w:rsidR="00011BB8" w:rsidRPr="005601ED">
        <w:rPr>
          <w:rFonts w:asciiTheme="majorHAnsi" w:hAnsiTheme="majorHAnsi"/>
          <w:iCs/>
          <w:color w:val="000000" w:themeColor="text1"/>
          <w:sz w:val="20"/>
          <w:szCs w:val="20"/>
        </w:rPr>
        <w:t>Y</w:t>
      </w:r>
      <w:r w:rsidRPr="005601ED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oung </w:t>
      </w:r>
      <w:r w:rsidR="00011BB8" w:rsidRPr="005601ED">
        <w:rPr>
          <w:rFonts w:asciiTheme="majorHAnsi" w:hAnsiTheme="majorHAnsi"/>
          <w:iCs/>
          <w:color w:val="000000" w:themeColor="text1"/>
          <w:sz w:val="20"/>
          <w:szCs w:val="20"/>
        </w:rPr>
        <w:t>H</w:t>
      </w:r>
      <w:r w:rsidRPr="005601ED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orse </w:t>
      </w:r>
      <w:r w:rsidR="00011BB8" w:rsidRPr="005601ED">
        <w:rPr>
          <w:rFonts w:asciiTheme="majorHAnsi" w:hAnsiTheme="majorHAnsi"/>
          <w:iCs/>
          <w:color w:val="000000" w:themeColor="text1"/>
          <w:sz w:val="20"/>
          <w:szCs w:val="20"/>
        </w:rPr>
        <w:t>S</w:t>
      </w:r>
      <w:r w:rsidRPr="005601ED">
        <w:rPr>
          <w:rFonts w:asciiTheme="majorHAnsi" w:hAnsiTheme="majorHAnsi"/>
          <w:iCs/>
          <w:color w:val="000000" w:themeColor="text1"/>
          <w:sz w:val="20"/>
          <w:szCs w:val="20"/>
        </w:rPr>
        <w:t>eries for 2023 and onwards</w:t>
      </w:r>
      <w:r w:rsidR="00011BB8" w:rsidRPr="005601ED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 .               </w:t>
      </w:r>
      <w:r w:rsidRPr="005601ED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 Rising Stars will cater for 4, 5, </w:t>
      </w:r>
      <w:r w:rsidR="00E45C48" w:rsidRPr="005601ED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&amp; </w:t>
      </w:r>
      <w:r w:rsidRPr="005601ED">
        <w:rPr>
          <w:rFonts w:asciiTheme="majorHAnsi" w:hAnsiTheme="majorHAnsi"/>
          <w:iCs/>
          <w:color w:val="000000" w:themeColor="text1"/>
          <w:sz w:val="20"/>
          <w:szCs w:val="20"/>
        </w:rPr>
        <w:t>6/7 YO horses and will afford your horses the time and opportunity to develop to their maximum potential at their own pace, without being rushed or over-faced</w:t>
      </w:r>
      <w:r w:rsidR="00E45C48" w:rsidRPr="005601ED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. </w:t>
      </w:r>
      <w:r w:rsidRPr="005601ED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 As the series progresses towards the finals on the weekend of </w:t>
      </w:r>
      <w:r w:rsidR="0002797D" w:rsidRPr="005601ED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4-6 August  in Mullingar </w:t>
      </w:r>
      <w:r w:rsidRPr="005601ED">
        <w:rPr>
          <w:rFonts w:asciiTheme="majorHAnsi" w:hAnsiTheme="majorHAnsi"/>
          <w:iCs/>
          <w:color w:val="000000" w:themeColor="text1"/>
          <w:sz w:val="20"/>
          <w:szCs w:val="20"/>
        </w:rPr>
        <w:t>, the horses will be challenged by higher, slightly more technical courses.</w:t>
      </w:r>
      <w:r w:rsidR="0002797D" w:rsidRPr="005601ED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 </w:t>
      </w:r>
      <w:r w:rsidRPr="005601ED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Qualifiers will run from March to the end of </w:t>
      </w:r>
      <w:r w:rsidR="0002797D" w:rsidRPr="005601ED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July </w:t>
      </w:r>
      <w:r w:rsidRPr="005601ED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 with 20– 25 qualifiers at Mullingar and around the countr</w:t>
      </w:r>
      <w:r w:rsidR="0002797D" w:rsidRPr="005601ED">
        <w:rPr>
          <w:rFonts w:asciiTheme="majorHAnsi" w:hAnsiTheme="majorHAnsi"/>
          <w:iCs/>
          <w:color w:val="000000" w:themeColor="text1"/>
          <w:sz w:val="20"/>
          <w:szCs w:val="20"/>
        </w:rPr>
        <w:t>y.</w:t>
      </w:r>
      <w:r w:rsidR="00011BB8" w:rsidRPr="005601ED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</w:t>
      </w:r>
      <w:r w:rsidR="0002797D" w:rsidRPr="005601ED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 </w:t>
      </w:r>
      <w:r w:rsidRPr="005601ED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The Rising Stars qualifiers from May , and the finals in Mullingar Equestrian Centre, will be </w:t>
      </w:r>
      <w:r w:rsidRPr="00A869E7">
        <w:rPr>
          <w:rFonts w:asciiTheme="majorHAnsi" w:hAnsiTheme="majorHAnsi"/>
          <w:b/>
          <w:bCs/>
          <w:iCs/>
          <w:color w:val="000000" w:themeColor="text1"/>
          <w:sz w:val="20"/>
          <w:szCs w:val="20"/>
        </w:rPr>
        <w:t>Live Streamed nationally and internationally</w:t>
      </w:r>
      <w:r w:rsidRPr="005601ED">
        <w:rPr>
          <w:rFonts w:asciiTheme="majorHAnsi" w:hAnsiTheme="majorHAnsi"/>
          <w:iCs/>
          <w:color w:val="000000" w:themeColor="text1"/>
          <w:sz w:val="20"/>
          <w:szCs w:val="20"/>
        </w:rPr>
        <w:t>. This will give owners and riders the opportunity to showcase their horses to a wider audience and afford those abroad the chance to assess the talent of the young horses competing in Ireland.</w:t>
      </w:r>
      <w:r w:rsidR="0002797D" w:rsidRPr="005601ED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 </w:t>
      </w:r>
      <w:r w:rsidRPr="005601ED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The finals, at the </w:t>
      </w:r>
      <w:r w:rsidR="0002797D" w:rsidRPr="005601ED">
        <w:rPr>
          <w:rFonts w:asciiTheme="majorHAnsi" w:hAnsiTheme="majorHAnsi"/>
          <w:iCs/>
          <w:color w:val="000000" w:themeColor="text1"/>
          <w:sz w:val="20"/>
          <w:szCs w:val="20"/>
        </w:rPr>
        <w:t>MEC August Bank holiday Grand Prix Show ,August 4</w:t>
      </w:r>
      <w:r w:rsidR="0002797D" w:rsidRPr="005601ED">
        <w:rPr>
          <w:rFonts w:asciiTheme="majorHAnsi" w:hAnsiTheme="majorHAnsi"/>
          <w:iCs/>
          <w:color w:val="000000" w:themeColor="text1"/>
          <w:sz w:val="20"/>
          <w:szCs w:val="20"/>
          <w:vertAlign w:val="superscript"/>
        </w:rPr>
        <w:t>th</w:t>
      </w:r>
      <w:r w:rsidR="0002797D" w:rsidRPr="005601ED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 to 6</w:t>
      </w:r>
      <w:r w:rsidR="0002797D" w:rsidRPr="005601ED">
        <w:rPr>
          <w:rFonts w:asciiTheme="majorHAnsi" w:hAnsiTheme="majorHAnsi"/>
          <w:iCs/>
          <w:color w:val="000000" w:themeColor="text1"/>
          <w:sz w:val="20"/>
          <w:szCs w:val="20"/>
          <w:vertAlign w:val="superscript"/>
        </w:rPr>
        <w:t>th</w:t>
      </w:r>
      <w:r w:rsidR="0002797D" w:rsidRPr="005601ED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 </w:t>
      </w:r>
      <w:r w:rsidRPr="005601ED">
        <w:rPr>
          <w:rFonts w:asciiTheme="majorHAnsi" w:hAnsiTheme="majorHAnsi"/>
          <w:iCs/>
          <w:color w:val="000000" w:themeColor="text1"/>
          <w:sz w:val="20"/>
          <w:szCs w:val="20"/>
        </w:rPr>
        <w:t>, will have a combined prize fund of €12,000.</w:t>
      </w:r>
      <w:r w:rsidRPr="005601ED">
        <w:rPr>
          <w:color w:val="000000" w:themeColor="text1"/>
          <w:sz w:val="20"/>
          <w:szCs w:val="20"/>
          <w:lang w:val="en-IE"/>
        </w:rPr>
        <w:t xml:space="preserve">                                                            </w:t>
      </w:r>
      <w:r w:rsidRPr="00A869E7">
        <w:rPr>
          <w:b/>
          <w:bCs/>
          <w:color w:val="1F497D"/>
          <w:sz w:val="20"/>
          <w:szCs w:val="20"/>
          <w:lang w:val="en-IE"/>
        </w:rPr>
        <w:t>*******************************************************************************************</w:t>
      </w:r>
    </w:p>
    <w:p w14:paraId="3E1E2E60" w14:textId="1AF60EE6" w:rsidR="00F71606" w:rsidRPr="00A869E7" w:rsidRDefault="00A0464E" w:rsidP="00084ED3">
      <w:pPr>
        <w:spacing w:line="240" w:lineRule="auto"/>
        <w:rPr>
          <w:b/>
          <w:bCs/>
          <w:color w:val="000000" w:themeColor="text1"/>
          <w:sz w:val="20"/>
          <w:szCs w:val="20"/>
          <w:lang w:val="en-IE"/>
        </w:rPr>
      </w:pPr>
      <w:r w:rsidRPr="00A869E7">
        <w:rPr>
          <w:b/>
          <w:bCs/>
          <w:color w:val="000000" w:themeColor="text1"/>
          <w:sz w:val="20"/>
          <w:szCs w:val="20"/>
          <w:lang w:val="en-IE"/>
        </w:rPr>
        <w:t>H</w:t>
      </w:r>
      <w:r w:rsidR="00084ED3" w:rsidRPr="00A869E7">
        <w:rPr>
          <w:b/>
          <w:bCs/>
          <w:color w:val="000000" w:themeColor="text1"/>
          <w:sz w:val="20"/>
          <w:szCs w:val="20"/>
          <w:lang w:val="en-IE"/>
        </w:rPr>
        <w:t xml:space="preserve">ow to qualify </w:t>
      </w:r>
      <w:r w:rsidR="00F71606" w:rsidRPr="00A869E7">
        <w:rPr>
          <w:b/>
          <w:bCs/>
          <w:color w:val="000000" w:themeColor="text1"/>
          <w:sz w:val="20"/>
          <w:szCs w:val="20"/>
          <w:lang w:val="en-IE"/>
        </w:rPr>
        <w:t>/</w:t>
      </w:r>
      <w:r w:rsidR="00D36DBF" w:rsidRPr="00A869E7">
        <w:rPr>
          <w:b/>
          <w:bCs/>
          <w:color w:val="000000" w:themeColor="text1"/>
          <w:sz w:val="20"/>
          <w:szCs w:val="20"/>
          <w:lang w:val="en-IE"/>
        </w:rPr>
        <w:t>I</w:t>
      </w:r>
      <w:r w:rsidR="00F71606" w:rsidRPr="00A869E7">
        <w:rPr>
          <w:b/>
          <w:bCs/>
          <w:color w:val="000000" w:themeColor="text1"/>
          <w:sz w:val="20"/>
          <w:szCs w:val="20"/>
          <w:lang w:val="en-IE"/>
        </w:rPr>
        <w:t>nformation for the competitor</w:t>
      </w:r>
    </w:p>
    <w:p w14:paraId="2D2A6F40" w14:textId="5D278827" w:rsidR="00084ED3" w:rsidRPr="00A869E7" w:rsidRDefault="00C7760A" w:rsidP="00E64F44">
      <w:pPr>
        <w:pStyle w:val="ListParagraph"/>
        <w:widowControl w:val="0"/>
        <w:numPr>
          <w:ilvl w:val="0"/>
          <w:numId w:val="6"/>
        </w:numPr>
        <w:tabs>
          <w:tab w:val="left" w:pos="306"/>
        </w:tabs>
        <w:autoSpaceDE w:val="0"/>
        <w:autoSpaceDN w:val="0"/>
        <w:spacing w:before="137" w:after="0" w:line="288" w:lineRule="auto"/>
        <w:ind w:right="500"/>
        <w:rPr>
          <w:color w:val="000000" w:themeColor="text1"/>
          <w:sz w:val="20"/>
          <w:szCs w:val="20"/>
          <w:lang w:val="en-IE"/>
        </w:rPr>
      </w:pPr>
      <w:r w:rsidRPr="00A869E7">
        <w:rPr>
          <w:color w:val="000000" w:themeColor="text1"/>
          <w:sz w:val="20"/>
          <w:szCs w:val="20"/>
          <w:lang w:val="en-IE"/>
        </w:rPr>
        <w:t>A horse /rider combination must c</w:t>
      </w:r>
      <w:r w:rsidR="00084ED3" w:rsidRPr="00A869E7">
        <w:rPr>
          <w:color w:val="000000" w:themeColor="text1"/>
          <w:sz w:val="20"/>
          <w:szCs w:val="20"/>
          <w:lang w:val="en-IE"/>
        </w:rPr>
        <w:t xml:space="preserve">omplete in at least 2 </w:t>
      </w:r>
      <w:r w:rsidR="00192E3D" w:rsidRPr="00A869E7">
        <w:rPr>
          <w:color w:val="000000" w:themeColor="text1"/>
          <w:sz w:val="20"/>
          <w:szCs w:val="20"/>
          <w:lang w:val="en-IE"/>
        </w:rPr>
        <w:t>Rising Star</w:t>
      </w:r>
      <w:r w:rsidR="00084ED3" w:rsidRPr="00A869E7">
        <w:rPr>
          <w:color w:val="000000" w:themeColor="text1"/>
          <w:sz w:val="20"/>
          <w:szCs w:val="20"/>
          <w:lang w:val="en-IE"/>
        </w:rPr>
        <w:t xml:space="preserve"> qualifiers (See show </w:t>
      </w:r>
      <w:r w:rsidR="00F53210" w:rsidRPr="00A869E7">
        <w:rPr>
          <w:color w:val="000000" w:themeColor="text1"/>
          <w:sz w:val="20"/>
          <w:szCs w:val="20"/>
          <w:lang w:val="en-IE"/>
        </w:rPr>
        <w:t>qualifier dates</w:t>
      </w:r>
      <w:r w:rsidR="00084ED3" w:rsidRPr="00A869E7">
        <w:rPr>
          <w:color w:val="000000" w:themeColor="text1"/>
          <w:sz w:val="20"/>
          <w:szCs w:val="20"/>
          <w:lang w:val="en-IE"/>
        </w:rPr>
        <w:t>)</w:t>
      </w:r>
      <w:r w:rsidR="00E64F44" w:rsidRPr="00A869E7">
        <w:rPr>
          <w:color w:val="000000" w:themeColor="text1"/>
          <w:sz w:val="20"/>
          <w:szCs w:val="20"/>
          <w:lang w:val="en-IE"/>
        </w:rPr>
        <w:t>in order</w:t>
      </w:r>
      <w:r w:rsidR="00346DAB" w:rsidRPr="00A869E7">
        <w:rPr>
          <w:color w:val="000000" w:themeColor="text1"/>
          <w:sz w:val="20"/>
          <w:szCs w:val="20"/>
          <w:lang w:val="en-IE"/>
        </w:rPr>
        <w:t xml:space="preserve"> </w:t>
      </w:r>
      <w:r w:rsidR="00F53210" w:rsidRPr="00A869E7">
        <w:rPr>
          <w:color w:val="000000" w:themeColor="text1"/>
          <w:sz w:val="20"/>
          <w:szCs w:val="20"/>
          <w:lang w:val="en-IE"/>
        </w:rPr>
        <w:t xml:space="preserve"> to be eligible to compete at the finals</w:t>
      </w:r>
      <w:r w:rsidR="00E64F44" w:rsidRPr="00A869E7">
        <w:rPr>
          <w:color w:val="000000" w:themeColor="text1"/>
          <w:sz w:val="20"/>
          <w:szCs w:val="20"/>
          <w:lang w:val="en-IE"/>
        </w:rPr>
        <w:t xml:space="preserve"> in Mullingar ,</w:t>
      </w:r>
      <w:r w:rsidR="00E45C48" w:rsidRPr="00A869E7">
        <w:rPr>
          <w:color w:val="000000" w:themeColor="text1"/>
          <w:sz w:val="20"/>
          <w:szCs w:val="20"/>
          <w:lang w:val="en-IE"/>
        </w:rPr>
        <w:t>Aug 4 to 6 .</w:t>
      </w:r>
      <w:r w:rsidR="00F53210" w:rsidRPr="00A869E7">
        <w:rPr>
          <w:color w:val="000000" w:themeColor="text1"/>
          <w:sz w:val="20"/>
          <w:szCs w:val="20"/>
          <w:lang w:val="en-IE"/>
        </w:rPr>
        <w:t xml:space="preserve"> There will be a further 2 preliminary qualifiers at the finals where the top </w:t>
      </w:r>
      <w:r w:rsidR="00E45C48" w:rsidRPr="00A869E7">
        <w:rPr>
          <w:color w:val="000000" w:themeColor="text1"/>
          <w:sz w:val="20"/>
          <w:szCs w:val="20"/>
          <w:lang w:val="en-IE"/>
        </w:rPr>
        <w:t>20</w:t>
      </w:r>
      <w:r w:rsidR="00F53210" w:rsidRPr="00A869E7">
        <w:rPr>
          <w:color w:val="000000" w:themeColor="text1"/>
          <w:sz w:val="20"/>
          <w:szCs w:val="20"/>
          <w:lang w:val="en-IE"/>
        </w:rPr>
        <w:t xml:space="preserve"> horses will go through each day</w:t>
      </w:r>
      <w:r w:rsidR="00A0464E" w:rsidRPr="00A869E7">
        <w:rPr>
          <w:color w:val="000000" w:themeColor="text1"/>
          <w:sz w:val="20"/>
          <w:szCs w:val="20"/>
          <w:lang w:val="en-IE"/>
        </w:rPr>
        <w:t xml:space="preserve"> (5YO &amp; 6/7YO)</w:t>
      </w:r>
      <w:r w:rsidR="00F53210" w:rsidRPr="00A869E7">
        <w:rPr>
          <w:color w:val="000000" w:themeColor="text1"/>
          <w:sz w:val="20"/>
          <w:szCs w:val="20"/>
          <w:lang w:val="en-IE"/>
        </w:rPr>
        <w:t xml:space="preserve"> for the  </w:t>
      </w:r>
      <w:r w:rsidR="00192E3D" w:rsidRPr="00A869E7">
        <w:rPr>
          <w:color w:val="000000" w:themeColor="text1"/>
          <w:sz w:val="20"/>
          <w:szCs w:val="20"/>
          <w:lang w:val="en-IE"/>
        </w:rPr>
        <w:t>final</w:t>
      </w:r>
      <w:r w:rsidR="00E64F44" w:rsidRPr="00A869E7">
        <w:rPr>
          <w:color w:val="000000" w:themeColor="text1"/>
          <w:sz w:val="20"/>
          <w:szCs w:val="20"/>
          <w:lang w:val="en-IE"/>
        </w:rPr>
        <w:t xml:space="preserve">s on Sunday </w:t>
      </w:r>
      <w:r w:rsidR="00A0464E" w:rsidRPr="00A869E7">
        <w:rPr>
          <w:color w:val="000000" w:themeColor="text1"/>
          <w:sz w:val="20"/>
          <w:szCs w:val="20"/>
          <w:lang w:val="en-IE"/>
        </w:rPr>
        <w:t xml:space="preserve">&amp; the top 25 4YO will </w:t>
      </w:r>
      <w:r w:rsidR="00E45C48" w:rsidRPr="00A869E7">
        <w:rPr>
          <w:color w:val="000000" w:themeColor="text1"/>
          <w:sz w:val="20"/>
          <w:szCs w:val="20"/>
          <w:lang w:val="en-IE"/>
        </w:rPr>
        <w:t xml:space="preserve"> qualify </w:t>
      </w:r>
      <w:r w:rsidR="00A0464E" w:rsidRPr="00A869E7">
        <w:rPr>
          <w:color w:val="000000" w:themeColor="text1"/>
          <w:sz w:val="20"/>
          <w:szCs w:val="20"/>
          <w:lang w:val="en-IE"/>
        </w:rPr>
        <w:t>from Friday for Saturdays finals</w:t>
      </w:r>
    </w:p>
    <w:p w14:paraId="5D8F5CF0" w14:textId="20E4EB5E" w:rsidR="002A6F32" w:rsidRPr="00A869E7" w:rsidRDefault="00192E3D" w:rsidP="002A6F32">
      <w:pPr>
        <w:pStyle w:val="ListParagraph"/>
        <w:widowControl w:val="0"/>
        <w:numPr>
          <w:ilvl w:val="0"/>
          <w:numId w:val="6"/>
        </w:numPr>
        <w:tabs>
          <w:tab w:val="left" w:pos="306"/>
        </w:tabs>
        <w:autoSpaceDE w:val="0"/>
        <w:autoSpaceDN w:val="0"/>
        <w:spacing w:before="137" w:after="0" w:line="288" w:lineRule="auto"/>
        <w:ind w:right="500"/>
        <w:rPr>
          <w:color w:val="000000" w:themeColor="text1"/>
          <w:sz w:val="20"/>
          <w:szCs w:val="20"/>
          <w:lang w:val="en-IE"/>
        </w:rPr>
      </w:pPr>
      <w:r w:rsidRPr="00A869E7">
        <w:rPr>
          <w:color w:val="000000" w:themeColor="text1"/>
          <w:sz w:val="20"/>
          <w:szCs w:val="20"/>
          <w:lang w:val="en-IE"/>
        </w:rPr>
        <w:t xml:space="preserve">A rider may </w:t>
      </w:r>
      <w:r w:rsidR="00E64F44" w:rsidRPr="00A869E7">
        <w:rPr>
          <w:color w:val="000000" w:themeColor="text1"/>
          <w:sz w:val="20"/>
          <w:szCs w:val="20"/>
          <w:lang w:val="en-IE"/>
        </w:rPr>
        <w:t>ride</w:t>
      </w:r>
      <w:r w:rsidRPr="00A869E7">
        <w:rPr>
          <w:color w:val="000000" w:themeColor="text1"/>
          <w:sz w:val="20"/>
          <w:szCs w:val="20"/>
          <w:lang w:val="en-IE"/>
        </w:rPr>
        <w:t xml:space="preserve"> a maximum of 3 </w:t>
      </w:r>
      <w:r w:rsidR="00E64F44" w:rsidRPr="00A869E7">
        <w:rPr>
          <w:color w:val="000000" w:themeColor="text1"/>
          <w:sz w:val="20"/>
          <w:szCs w:val="20"/>
          <w:lang w:val="en-IE"/>
        </w:rPr>
        <w:t>horses in the preliminary finals</w:t>
      </w:r>
      <w:r w:rsidR="00803DA7" w:rsidRPr="00A869E7">
        <w:rPr>
          <w:color w:val="000000" w:themeColor="text1"/>
          <w:sz w:val="20"/>
          <w:szCs w:val="20"/>
          <w:lang w:val="en-IE"/>
        </w:rPr>
        <w:t xml:space="preserve"> in each</w:t>
      </w:r>
      <w:r w:rsidR="00E64F44" w:rsidRPr="00A869E7">
        <w:rPr>
          <w:color w:val="000000" w:themeColor="text1"/>
          <w:sz w:val="20"/>
          <w:szCs w:val="20"/>
          <w:lang w:val="en-IE"/>
        </w:rPr>
        <w:t xml:space="preserve"> category </w:t>
      </w:r>
      <w:r w:rsidR="002A6F32" w:rsidRPr="00A869E7">
        <w:rPr>
          <w:color w:val="000000" w:themeColor="text1"/>
          <w:sz w:val="20"/>
          <w:szCs w:val="20"/>
          <w:lang w:val="en-IE"/>
        </w:rPr>
        <w:t xml:space="preserve"> </w:t>
      </w:r>
    </w:p>
    <w:p w14:paraId="45B051C0" w14:textId="5CA5BEA3" w:rsidR="00E64F44" w:rsidRPr="00A869E7" w:rsidRDefault="00E64F44" w:rsidP="002A6F32">
      <w:pPr>
        <w:pStyle w:val="ListParagraph"/>
        <w:widowControl w:val="0"/>
        <w:numPr>
          <w:ilvl w:val="0"/>
          <w:numId w:val="6"/>
        </w:numPr>
        <w:tabs>
          <w:tab w:val="left" w:pos="306"/>
        </w:tabs>
        <w:autoSpaceDE w:val="0"/>
        <w:autoSpaceDN w:val="0"/>
        <w:spacing w:before="137" w:after="0" w:line="288" w:lineRule="auto"/>
        <w:ind w:right="500"/>
        <w:rPr>
          <w:color w:val="000000" w:themeColor="text1"/>
          <w:sz w:val="20"/>
          <w:szCs w:val="20"/>
          <w:lang w:val="en-IE"/>
        </w:rPr>
      </w:pPr>
      <w:r w:rsidRPr="00A869E7">
        <w:rPr>
          <w:color w:val="000000" w:themeColor="text1"/>
          <w:sz w:val="20"/>
          <w:szCs w:val="20"/>
        </w:rPr>
        <w:t xml:space="preserve">No substitutions  will be allowed </w:t>
      </w:r>
    </w:p>
    <w:p w14:paraId="7B721C73" w14:textId="03E917DD" w:rsidR="00C7760A" w:rsidRPr="00A869E7" w:rsidRDefault="00C7760A" w:rsidP="00E64F4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color w:val="000000" w:themeColor="text1"/>
          <w:sz w:val="20"/>
          <w:szCs w:val="20"/>
        </w:rPr>
      </w:pPr>
      <w:r w:rsidRPr="00A869E7">
        <w:rPr>
          <w:color w:val="000000" w:themeColor="text1"/>
          <w:sz w:val="20"/>
          <w:szCs w:val="20"/>
          <w:lang w:val="en-IE"/>
        </w:rPr>
        <w:t xml:space="preserve">The Series is open to all SJI registered members/horses with the following exceptions </w:t>
      </w:r>
    </w:p>
    <w:p w14:paraId="2E419450" w14:textId="651C2A85" w:rsidR="00C7760A" w:rsidRPr="00A869E7" w:rsidRDefault="00C7760A" w:rsidP="00A0464E">
      <w:pPr>
        <w:pStyle w:val="ListParagraph"/>
        <w:spacing w:line="24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A869E7">
        <w:rPr>
          <w:rFonts w:cstheme="minorHAnsi"/>
          <w:i/>
          <w:iCs/>
          <w:color w:val="000000" w:themeColor="text1"/>
          <w:sz w:val="20"/>
          <w:szCs w:val="20"/>
        </w:rPr>
        <w:t xml:space="preserve">Horses competing at ISH Studbook Series where they have featured in the Finals </w:t>
      </w:r>
      <w:r w:rsidR="00E45C48" w:rsidRPr="00A869E7">
        <w:rPr>
          <w:rFonts w:cstheme="minorHAnsi"/>
          <w:i/>
          <w:iCs/>
          <w:color w:val="000000" w:themeColor="text1"/>
          <w:sz w:val="20"/>
          <w:szCs w:val="20"/>
        </w:rPr>
        <w:t>at each leg</w:t>
      </w:r>
      <w:r w:rsidRPr="00A869E7">
        <w:rPr>
          <w:rFonts w:cstheme="minorHAnsi"/>
          <w:i/>
          <w:iCs/>
          <w:color w:val="000000" w:themeColor="text1"/>
          <w:sz w:val="20"/>
          <w:szCs w:val="20"/>
        </w:rPr>
        <w:t xml:space="preserve">, horses qualified for the </w:t>
      </w:r>
      <w:r w:rsidRPr="00A869E7">
        <w:rPr>
          <w:rFonts w:cstheme="minorHAnsi"/>
          <w:i/>
          <w:iCs/>
          <w:color w:val="000000" w:themeColor="text1"/>
          <w:sz w:val="20"/>
          <w:szCs w:val="20"/>
          <w:u w:val="single"/>
        </w:rPr>
        <w:t xml:space="preserve">4, 5, 6, 7 &amp; 8 </w:t>
      </w:r>
      <w:proofErr w:type="spellStart"/>
      <w:r w:rsidRPr="00A869E7">
        <w:rPr>
          <w:rFonts w:cstheme="minorHAnsi"/>
          <w:i/>
          <w:iCs/>
          <w:color w:val="000000" w:themeColor="text1"/>
          <w:sz w:val="20"/>
          <w:szCs w:val="20"/>
          <w:u w:val="single"/>
        </w:rPr>
        <w:t>Yr</w:t>
      </w:r>
      <w:proofErr w:type="spellEnd"/>
      <w:r w:rsidRPr="00A869E7">
        <w:rPr>
          <w:rFonts w:cstheme="minorHAnsi"/>
          <w:i/>
          <w:iCs/>
          <w:color w:val="000000" w:themeColor="text1"/>
          <w:sz w:val="20"/>
          <w:szCs w:val="20"/>
          <w:u w:val="single"/>
        </w:rPr>
        <w:t xml:space="preserve"> Old Classes at the RDS</w:t>
      </w:r>
      <w:r w:rsidRPr="00A869E7">
        <w:rPr>
          <w:rFonts w:cstheme="minorHAnsi"/>
          <w:i/>
          <w:iCs/>
          <w:color w:val="000000" w:themeColor="text1"/>
          <w:sz w:val="20"/>
          <w:szCs w:val="20"/>
        </w:rPr>
        <w:t xml:space="preserve"> or horses competing at </w:t>
      </w:r>
      <w:r w:rsidRPr="00A869E7">
        <w:rPr>
          <w:rFonts w:cstheme="minorHAnsi"/>
          <w:i/>
          <w:iCs/>
          <w:color w:val="000000" w:themeColor="text1"/>
          <w:sz w:val="20"/>
          <w:szCs w:val="20"/>
          <w:u w:val="single"/>
        </w:rPr>
        <w:t>National GP level</w:t>
      </w:r>
      <w:r w:rsidRPr="00A869E7">
        <w:rPr>
          <w:rFonts w:cstheme="minorHAnsi"/>
          <w:i/>
          <w:iCs/>
          <w:color w:val="000000" w:themeColor="text1"/>
          <w:sz w:val="20"/>
          <w:szCs w:val="20"/>
        </w:rPr>
        <w:t xml:space="preserve"> are </w:t>
      </w:r>
      <w:r w:rsidRPr="00A869E7">
        <w:rPr>
          <w:rFonts w:cstheme="minorHAnsi"/>
          <w:i/>
          <w:iCs/>
          <w:color w:val="000000" w:themeColor="text1"/>
          <w:sz w:val="20"/>
          <w:szCs w:val="20"/>
          <w:u w:val="single"/>
        </w:rPr>
        <w:t>not</w:t>
      </w:r>
      <w:r w:rsidRPr="00A869E7">
        <w:rPr>
          <w:rFonts w:cstheme="minorHAnsi"/>
          <w:i/>
          <w:iCs/>
          <w:color w:val="000000" w:themeColor="text1"/>
          <w:sz w:val="20"/>
          <w:szCs w:val="20"/>
        </w:rPr>
        <w:t xml:space="preserve"> eligible to compete at the finals in </w:t>
      </w:r>
      <w:r w:rsidR="00E45C48" w:rsidRPr="00A869E7">
        <w:rPr>
          <w:rFonts w:cstheme="minorHAnsi"/>
          <w:i/>
          <w:iCs/>
          <w:color w:val="000000" w:themeColor="text1"/>
          <w:sz w:val="20"/>
          <w:szCs w:val="20"/>
        </w:rPr>
        <w:t>August</w:t>
      </w:r>
      <w:r w:rsidRPr="00A869E7">
        <w:rPr>
          <w:rFonts w:cstheme="minorHAnsi"/>
          <w:i/>
          <w:iCs/>
          <w:color w:val="000000" w:themeColor="text1"/>
          <w:sz w:val="20"/>
          <w:szCs w:val="20"/>
        </w:rPr>
        <w:t>, but are welcome to compete at the qualifiers</w:t>
      </w:r>
    </w:p>
    <w:p w14:paraId="586B4A73" w14:textId="49856BD5" w:rsidR="00346DAB" w:rsidRPr="00A869E7" w:rsidRDefault="00346DAB" w:rsidP="002A6F32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  <w:sz w:val="20"/>
          <w:szCs w:val="20"/>
          <w:lang w:val="en-IE"/>
        </w:rPr>
      </w:pPr>
      <w:r w:rsidRPr="00A869E7">
        <w:rPr>
          <w:color w:val="000000" w:themeColor="text1"/>
          <w:sz w:val="20"/>
          <w:szCs w:val="20"/>
          <w:lang w:val="en-IE"/>
        </w:rPr>
        <w:t xml:space="preserve">The show organisers reserve the right to alter the rules as deemed necessary </w:t>
      </w:r>
    </w:p>
    <w:p w14:paraId="1B10F3CD" w14:textId="5F34E59D" w:rsidR="00CF3B68" w:rsidRPr="00A869E7" w:rsidRDefault="00CF3B68" w:rsidP="00C7760A">
      <w:pPr>
        <w:spacing w:line="240" w:lineRule="auto"/>
        <w:rPr>
          <w:b/>
          <w:bCs/>
          <w:color w:val="000000" w:themeColor="text1"/>
          <w:sz w:val="20"/>
          <w:szCs w:val="20"/>
          <w:lang w:val="en-IE"/>
        </w:rPr>
      </w:pPr>
      <w:r w:rsidRPr="00A869E7">
        <w:rPr>
          <w:b/>
          <w:bCs/>
          <w:color w:val="000000" w:themeColor="text1"/>
          <w:sz w:val="20"/>
          <w:szCs w:val="20"/>
          <w:lang w:val="en-IE"/>
        </w:rPr>
        <w:t xml:space="preserve">Show venues </w:t>
      </w:r>
      <w:r w:rsidR="00D36DBF" w:rsidRPr="00A869E7">
        <w:rPr>
          <w:b/>
          <w:bCs/>
          <w:color w:val="000000" w:themeColor="text1"/>
          <w:sz w:val="20"/>
          <w:szCs w:val="20"/>
          <w:lang w:val="en-IE"/>
        </w:rPr>
        <w:t xml:space="preserve">information </w:t>
      </w:r>
    </w:p>
    <w:p w14:paraId="719C31EB" w14:textId="6EEA1E68" w:rsidR="00011BB8" w:rsidRPr="00A869E7" w:rsidRDefault="00D36DBF" w:rsidP="00430F95">
      <w:pPr>
        <w:pStyle w:val="ListParagraph"/>
        <w:numPr>
          <w:ilvl w:val="0"/>
          <w:numId w:val="7"/>
        </w:numPr>
        <w:spacing w:line="240" w:lineRule="auto"/>
        <w:jc w:val="both"/>
        <w:rPr>
          <w:color w:val="000000" w:themeColor="text1"/>
          <w:sz w:val="20"/>
          <w:szCs w:val="20"/>
          <w:lang w:val="en-IE"/>
        </w:rPr>
      </w:pPr>
      <w:r w:rsidRPr="00A869E7">
        <w:rPr>
          <w:color w:val="000000" w:themeColor="text1"/>
          <w:sz w:val="20"/>
          <w:szCs w:val="20"/>
          <w:lang w:val="en-IE"/>
        </w:rPr>
        <w:t>Qualifiers must be standalone classes 4YO/5YO/6&amp;7YO &amp; run independently . “</w:t>
      </w:r>
      <w:r w:rsidR="00192E3D" w:rsidRPr="00A869E7">
        <w:rPr>
          <w:color w:val="000000" w:themeColor="text1"/>
          <w:sz w:val="20"/>
          <w:szCs w:val="20"/>
          <w:lang w:val="en-IE"/>
        </w:rPr>
        <w:t xml:space="preserve">Rising Star </w:t>
      </w:r>
      <w:proofErr w:type="spellStart"/>
      <w:r w:rsidR="00192E3D" w:rsidRPr="00A869E7">
        <w:rPr>
          <w:color w:val="000000" w:themeColor="text1"/>
          <w:sz w:val="20"/>
          <w:szCs w:val="20"/>
          <w:lang w:val="en-IE"/>
        </w:rPr>
        <w:t>qualfier</w:t>
      </w:r>
      <w:proofErr w:type="spellEnd"/>
      <w:r w:rsidR="007B3DAB" w:rsidRPr="00A869E7">
        <w:rPr>
          <w:color w:val="000000" w:themeColor="text1"/>
          <w:sz w:val="20"/>
          <w:szCs w:val="20"/>
          <w:lang w:val="en-IE"/>
        </w:rPr>
        <w:t>”</w:t>
      </w:r>
      <w:r w:rsidRPr="00A869E7">
        <w:rPr>
          <w:color w:val="000000" w:themeColor="text1"/>
          <w:sz w:val="20"/>
          <w:szCs w:val="20"/>
          <w:lang w:val="en-IE"/>
        </w:rPr>
        <w:t xml:space="preserve"> </w:t>
      </w:r>
      <w:r w:rsidR="00011BB8" w:rsidRPr="00A869E7">
        <w:rPr>
          <w:color w:val="000000" w:themeColor="text1"/>
          <w:sz w:val="20"/>
          <w:szCs w:val="20"/>
          <w:lang w:val="en-IE"/>
        </w:rPr>
        <w:t xml:space="preserve"> </w:t>
      </w:r>
      <w:r w:rsidRPr="00A869E7">
        <w:rPr>
          <w:color w:val="000000" w:themeColor="text1"/>
          <w:sz w:val="20"/>
          <w:szCs w:val="20"/>
          <w:lang w:val="en-IE"/>
        </w:rPr>
        <w:t>should appear in the title of the class on SJI</w:t>
      </w:r>
      <w:r w:rsidR="00A97424" w:rsidRPr="00A869E7">
        <w:rPr>
          <w:color w:val="000000" w:themeColor="text1"/>
          <w:sz w:val="20"/>
          <w:szCs w:val="20"/>
          <w:lang w:val="en-IE"/>
        </w:rPr>
        <w:t>LIV</w:t>
      </w:r>
      <w:r w:rsidR="00011BB8" w:rsidRPr="00A869E7">
        <w:rPr>
          <w:color w:val="000000" w:themeColor="text1"/>
          <w:sz w:val="20"/>
          <w:szCs w:val="20"/>
          <w:lang w:val="en-IE"/>
        </w:rPr>
        <w:t>E</w:t>
      </w:r>
    </w:p>
    <w:p w14:paraId="5A33EFEF" w14:textId="11585C12" w:rsidR="00011BB8" w:rsidRPr="00A869E7" w:rsidRDefault="00A97424" w:rsidP="00F508D5">
      <w:pPr>
        <w:pStyle w:val="ListParagraph"/>
        <w:numPr>
          <w:ilvl w:val="0"/>
          <w:numId w:val="7"/>
        </w:numPr>
        <w:spacing w:line="240" w:lineRule="auto"/>
        <w:jc w:val="both"/>
        <w:rPr>
          <w:color w:val="000000" w:themeColor="text1"/>
          <w:sz w:val="20"/>
          <w:szCs w:val="20"/>
          <w:lang w:val="en-IE"/>
        </w:rPr>
      </w:pPr>
      <w:r w:rsidRPr="00A869E7">
        <w:rPr>
          <w:color w:val="000000" w:themeColor="text1"/>
          <w:sz w:val="20"/>
          <w:szCs w:val="20"/>
          <w:lang w:val="en-IE"/>
        </w:rPr>
        <w:t>The qual</w:t>
      </w:r>
      <w:r w:rsidR="00803DA7" w:rsidRPr="00A869E7">
        <w:rPr>
          <w:color w:val="000000" w:themeColor="text1"/>
          <w:sz w:val="20"/>
          <w:szCs w:val="20"/>
          <w:lang w:val="en-IE"/>
        </w:rPr>
        <w:t>ifiers</w:t>
      </w:r>
      <w:r w:rsidR="00D36DBF" w:rsidRPr="00A869E7">
        <w:rPr>
          <w:color w:val="000000" w:themeColor="text1"/>
          <w:sz w:val="20"/>
          <w:szCs w:val="20"/>
          <w:lang w:val="en-IE"/>
        </w:rPr>
        <w:t xml:space="preserve"> should be run in the main arena</w:t>
      </w:r>
      <w:r w:rsidR="007B3DAB" w:rsidRPr="00A869E7">
        <w:rPr>
          <w:color w:val="000000" w:themeColor="text1"/>
          <w:sz w:val="20"/>
          <w:szCs w:val="20"/>
          <w:lang w:val="en-IE"/>
        </w:rPr>
        <w:t xml:space="preserve"> where </w:t>
      </w:r>
      <w:r w:rsidRPr="00A869E7">
        <w:rPr>
          <w:color w:val="000000" w:themeColor="text1"/>
          <w:sz w:val="20"/>
          <w:szCs w:val="20"/>
          <w:lang w:val="en-IE"/>
        </w:rPr>
        <w:t xml:space="preserve">possible </w:t>
      </w:r>
    </w:p>
    <w:p w14:paraId="2B48325A" w14:textId="11420F33" w:rsidR="007B3DAB" w:rsidRPr="00A869E7" w:rsidRDefault="007B3DAB" w:rsidP="002A6F32">
      <w:pPr>
        <w:pStyle w:val="ListParagraph"/>
        <w:numPr>
          <w:ilvl w:val="0"/>
          <w:numId w:val="7"/>
        </w:numPr>
        <w:spacing w:line="240" w:lineRule="auto"/>
        <w:jc w:val="both"/>
        <w:rPr>
          <w:color w:val="000000" w:themeColor="text1"/>
          <w:sz w:val="20"/>
          <w:szCs w:val="20"/>
          <w:lang w:val="en-IE"/>
        </w:rPr>
      </w:pPr>
      <w:r w:rsidRPr="00A869E7">
        <w:rPr>
          <w:color w:val="000000" w:themeColor="text1"/>
          <w:sz w:val="20"/>
          <w:szCs w:val="20"/>
          <w:lang w:val="en-IE"/>
        </w:rPr>
        <w:t xml:space="preserve">Presentations should take place at the end of the class in the arena ,this gives the rider an opportunity to take photos &amp; show case their horse for potential buyers . </w:t>
      </w:r>
      <w:r w:rsidR="00011BB8" w:rsidRPr="00A869E7">
        <w:rPr>
          <w:color w:val="000000" w:themeColor="text1"/>
          <w:sz w:val="20"/>
          <w:szCs w:val="20"/>
          <w:lang w:val="en-IE"/>
        </w:rPr>
        <w:t xml:space="preserve">General media coverage </w:t>
      </w:r>
      <w:proofErr w:type="spellStart"/>
      <w:r w:rsidR="00011BB8" w:rsidRPr="00A869E7">
        <w:rPr>
          <w:color w:val="000000" w:themeColor="text1"/>
          <w:sz w:val="20"/>
          <w:szCs w:val="20"/>
          <w:lang w:val="en-IE"/>
        </w:rPr>
        <w:t>ie</w:t>
      </w:r>
      <w:proofErr w:type="spellEnd"/>
      <w:r w:rsidRPr="00A869E7">
        <w:rPr>
          <w:color w:val="000000" w:themeColor="text1"/>
          <w:sz w:val="20"/>
          <w:szCs w:val="20"/>
          <w:lang w:val="en-IE"/>
        </w:rPr>
        <w:t xml:space="preserve"> social media/media coverage either photos /results also gives competitors a bigger platform for their efforts</w:t>
      </w:r>
      <w:r w:rsidR="00011BB8" w:rsidRPr="00A869E7">
        <w:rPr>
          <w:color w:val="000000" w:themeColor="text1"/>
          <w:sz w:val="20"/>
          <w:szCs w:val="20"/>
          <w:lang w:val="en-IE"/>
        </w:rPr>
        <w:t xml:space="preserve"> and is encouraged </w:t>
      </w:r>
    </w:p>
    <w:p w14:paraId="2E4DC04A" w14:textId="77777777" w:rsidR="00011BB8" w:rsidRPr="00A869E7" w:rsidRDefault="00011BB8" w:rsidP="00011BB8">
      <w:pPr>
        <w:pStyle w:val="ListParagraph"/>
        <w:spacing w:line="240" w:lineRule="auto"/>
        <w:jc w:val="both"/>
        <w:rPr>
          <w:color w:val="000000" w:themeColor="text1"/>
          <w:sz w:val="20"/>
          <w:szCs w:val="20"/>
          <w:lang w:val="en-IE"/>
        </w:rPr>
      </w:pPr>
    </w:p>
    <w:p w14:paraId="7088D2EB" w14:textId="62FE9E18" w:rsidR="00192E3D" w:rsidRPr="00A869E7" w:rsidRDefault="00E64F44" w:rsidP="002A6F32">
      <w:pPr>
        <w:pStyle w:val="ListParagraph"/>
        <w:numPr>
          <w:ilvl w:val="0"/>
          <w:numId w:val="7"/>
        </w:num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869E7">
        <w:rPr>
          <w:rFonts w:cstheme="minorHAnsi"/>
          <w:color w:val="000000" w:themeColor="text1"/>
          <w:sz w:val="20"/>
          <w:szCs w:val="20"/>
        </w:rPr>
        <w:t>Recommended f</w:t>
      </w:r>
      <w:r w:rsidR="00192E3D" w:rsidRPr="00A869E7">
        <w:rPr>
          <w:rFonts w:cstheme="minorHAnsi"/>
          <w:color w:val="000000" w:themeColor="text1"/>
          <w:sz w:val="20"/>
          <w:szCs w:val="20"/>
        </w:rPr>
        <w:t>ence heights as follows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4"/>
        <w:gridCol w:w="2165"/>
        <w:gridCol w:w="2153"/>
        <w:gridCol w:w="2182"/>
      </w:tblGrid>
      <w:tr w:rsidR="00011BB8" w:rsidRPr="00A869E7" w14:paraId="33E8C2FB" w14:textId="77777777" w:rsidTr="00011BB8">
        <w:tc>
          <w:tcPr>
            <w:tcW w:w="2336" w:type="dxa"/>
          </w:tcPr>
          <w:p w14:paraId="68439949" w14:textId="28005714" w:rsidR="00011BB8" w:rsidRPr="00A869E7" w:rsidRDefault="00011BB8" w:rsidP="00011BB8">
            <w:pPr>
              <w:pStyle w:val="ListParagraph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69E7">
              <w:rPr>
                <w:rFonts w:cstheme="minorHAnsi"/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2336" w:type="dxa"/>
          </w:tcPr>
          <w:p w14:paraId="045C6F19" w14:textId="34B1C2CB" w:rsidR="00011BB8" w:rsidRPr="00A869E7" w:rsidRDefault="00011BB8" w:rsidP="00011BB8">
            <w:pPr>
              <w:pStyle w:val="ListParagraph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69E7">
              <w:rPr>
                <w:rFonts w:cstheme="minorHAnsi"/>
                <w:color w:val="000000" w:themeColor="text1"/>
                <w:sz w:val="20"/>
                <w:szCs w:val="20"/>
              </w:rPr>
              <w:t>April/May</w:t>
            </w:r>
          </w:p>
        </w:tc>
        <w:tc>
          <w:tcPr>
            <w:tcW w:w="2336" w:type="dxa"/>
          </w:tcPr>
          <w:p w14:paraId="691EC2EF" w14:textId="5D7D0F33" w:rsidR="00011BB8" w:rsidRPr="00A869E7" w:rsidRDefault="00011BB8" w:rsidP="00011BB8">
            <w:pPr>
              <w:pStyle w:val="ListParagraph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69E7">
              <w:rPr>
                <w:rFonts w:cstheme="minorHAnsi"/>
                <w:color w:val="000000" w:themeColor="text1"/>
                <w:sz w:val="20"/>
                <w:szCs w:val="20"/>
              </w:rPr>
              <w:t xml:space="preserve">June </w:t>
            </w:r>
          </w:p>
        </w:tc>
        <w:tc>
          <w:tcPr>
            <w:tcW w:w="2336" w:type="dxa"/>
          </w:tcPr>
          <w:p w14:paraId="5C293525" w14:textId="3DA79721" w:rsidR="00011BB8" w:rsidRPr="00A869E7" w:rsidRDefault="00011BB8" w:rsidP="00011BB8">
            <w:pPr>
              <w:pStyle w:val="ListParagraph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69E7">
              <w:rPr>
                <w:rFonts w:cstheme="minorHAnsi"/>
                <w:color w:val="000000" w:themeColor="text1"/>
                <w:sz w:val="20"/>
                <w:szCs w:val="20"/>
              </w:rPr>
              <w:t xml:space="preserve">July/August </w:t>
            </w:r>
          </w:p>
        </w:tc>
      </w:tr>
      <w:tr w:rsidR="00011BB8" w:rsidRPr="00A869E7" w14:paraId="63C8DEFA" w14:textId="77777777" w:rsidTr="00011BB8">
        <w:tc>
          <w:tcPr>
            <w:tcW w:w="2336" w:type="dxa"/>
          </w:tcPr>
          <w:p w14:paraId="038CD84D" w14:textId="55D84129" w:rsidR="00011BB8" w:rsidRPr="00A869E7" w:rsidRDefault="00011BB8" w:rsidP="00011BB8">
            <w:pPr>
              <w:pStyle w:val="ListParagraph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69E7">
              <w:rPr>
                <w:rFonts w:cstheme="minorHAnsi"/>
                <w:color w:val="000000" w:themeColor="text1"/>
                <w:sz w:val="20"/>
                <w:szCs w:val="20"/>
              </w:rPr>
              <w:t>4Y0</w:t>
            </w:r>
          </w:p>
        </w:tc>
        <w:tc>
          <w:tcPr>
            <w:tcW w:w="2336" w:type="dxa"/>
          </w:tcPr>
          <w:p w14:paraId="4D52AF87" w14:textId="4F1DFB85" w:rsidR="00011BB8" w:rsidRPr="00A869E7" w:rsidRDefault="00011BB8" w:rsidP="00011BB8">
            <w:pPr>
              <w:pStyle w:val="ListParagraph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69E7">
              <w:rPr>
                <w:rFonts w:cstheme="minorHAnsi"/>
                <w:color w:val="000000" w:themeColor="text1"/>
                <w:sz w:val="20"/>
                <w:szCs w:val="20"/>
              </w:rPr>
              <w:t>85/90cm</w:t>
            </w:r>
          </w:p>
        </w:tc>
        <w:tc>
          <w:tcPr>
            <w:tcW w:w="2336" w:type="dxa"/>
          </w:tcPr>
          <w:p w14:paraId="7824B8AA" w14:textId="43C4F54D" w:rsidR="00011BB8" w:rsidRPr="00A869E7" w:rsidRDefault="00011BB8" w:rsidP="00011BB8">
            <w:pPr>
              <w:pStyle w:val="ListParagraph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69E7">
              <w:rPr>
                <w:rFonts w:cstheme="minorHAnsi"/>
                <w:color w:val="000000" w:themeColor="text1"/>
                <w:sz w:val="20"/>
                <w:szCs w:val="20"/>
              </w:rPr>
              <w:t>90/95cm</w:t>
            </w:r>
          </w:p>
        </w:tc>
        <w:tc>
          <w:tcPr>
            <w:tcW w:w="2336" w:type="dxa"/>
          </w:tcPr>
          <w:p w14:paraId="33CD3DCE" w14:textId="65DCF17C" w:rsidR="00011BB8" w:rsidRPr="00A869E7" w:rsidRDefault="00011BB8" w:rsidP="00011BB8">
            <w:pPr>
              <w:pStyle w:val="ListParagraph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69E7">
              <w:rPr>
                <w:rFonts w:cstheme="minorHAnsi"/>
                <w:color w:val="000000" w:themeColor="text1"/>
                <w:sz w:val="20"/>
                <w:szCs w:val="20"/>
              </w:rPr>
              <w:t>Metre</w:t>
            </w:r>
          </w:p>
        </w:tc>
      </w:tr>
      <w:tr w:rsidR="00011BB8" w:rsidRPr="00A869E7" w14:paraId="66448588" w14:textId="77777777" w:rsidTr="00011BB8">
        <w:tc>
          <w:tcPr>
            <w:tcW w:w="2336" w:type="dxa"/>
          </w:tcPr>
          <w:p w14:paraId="2C1F002D" w14:textId="25D8B6B4" w:rsidR="00011BB8" w:rsidRPr="00A869E7" w:rsidRDefault="00011BB8" w:rsidP="00011BB8">
            <w:pPr>
              <w:pStyle w:val="ListParagraph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69E7">
              <w:rPr>
                <w:rFonts w:cstheme="minorHAnsi"/>
                <w:color w:val="000000" w:themeColor="text1"/>
                <w:sz w:val="20"/>
                <w:szCs w:val="20"/>
              </w:rPr>
              <w:t>5YO</w:t>
            </w:r>
          </w:p>
        </w:tc>
        <w:tc>
          <w:tcPr>
            <w:tcW w:w="2336" w:type="dxa"/>
          </w:tcPr>
          <w:p w14:paraId="3C5692A4" w14:textId="30646AEF" w:rsidR="00011BB8" w:rsidRPr="00A869E7" w:rsidRDefault="00011BB8" w:rsidP="00011BB8">
            <w:pPr>
              <w:pStyle w:val="ListParagraph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69E7">
              <w:rPr>
                <w:rFonts w:cstheme="minorHAnsi"/>
                <w:color w:val="000000" w:themeColor="text1"/>
                <w:sz w:val="20"/>
                <w:szCs w:val="20"/>
              </w:rPr>
              <w:t>Metre</w:t>
            </w:r>
          </w:p>
        </w:tc>
        <w:tc>
          <w:tcPr>
            <w:tcW w:w="2336" w:type="dxa"/>
          </w:tcPr>
          <w:p w14:paraId="604484AE" w14:textId="0E097A7D" w:rsidR="00011BB8" w:rsidRPr="00A869E7" w:rsidRDefault="00011BB8" w:rsidP="00011BB8">
            <w:pPr>
              <w:pStyle w:val="ListParagraph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69E7">
              <w:rPr>
                <w:rFonts w:cstheme="minorHAnsi"/>
                <w:color w:val="000000" w:themeColor="text1"/>
                <w:sz w:val="20"/>
                <w:szCs w:val="20"/>
              </w:rPr>
              <w:t>1.05</w:t>
            </w:r>
          </w:p>
        </w:tc>
        <w:tc>
          <w:tcPr>
            <w:tcW w:w="2336" w:type="dxa"/>
          </w:tcPr>
          <w:p w14:paraId="3FA2DEA7" w14:textId="534951B0" w:rsidR="00011BB8" w:rsidRPr="00A869E7" w:rsidRDefault="00011BB8" w:rsidP="00011BB8">
            <w:pPr>
              <w:pStyle w:val="ListParagraph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69E7">
              <w:rPr>
                <w:rFonts w:cstheme="minorHAnsi"/>
                <w:color w:val="000000" w:themeColor="text1"/>
                <w:sz w:val="20"/>
                <w:szCs w:val="20"/>
              </w:rPr>
              <w:t>1.15</w:t>
            </w:r>
          </w:p>
        </w:tc>
      </w:tr>
      <w:tr w:rsidR="00011BB8" w:rsidRPr="00A869E7" w14:paraId="1EBE8D93" w14:textId="77777777" w:rsidTr="00011BB8">
        <w:tc>
          <w:tcPr>
            <w:tcW w:w="2336" w:type="dxa"/>
          </w:tcPr>
          <w:p w14:paraId="6DC39C94" w14:textId="66625244" w:rsidR="00011BB8" w:rsidRPr="00A869E7" w:rsidRDefault="00011BB8" w:rsidP="00011BB8">
            <w:pPr>
              <w:pStyle w:val="ListParagraph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69E7">
              <w:rPr>
                <w:rFonts w:cstheme="minorHAnsi"/>
                <w:color w:val="000000" w:themeColor="text1"/>
                <w:sz w:val="20"/>
                <w:szCs w:val="20"/>
              </w:rPr>
              <w:t>6/7YO</w:t>
            </w:r>
          </w:p>
        </w:tc>
        <w:tc>
          <w:tcPr>
            <w:tcW w:w="2336" w:type="dxa"/>
          </w:tcPr>
          <w:p w14:paraId="045AC25F" w14:textId="6947C7FD" w:rsidR="00011BB8" w:rsidRPr="00A869E7" w:rsidRDefault="00011BB8" w:rsidP="00011BB8">
            <w:pPr>
              <w:pStyle w:val="ListParagraph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69E7">
              <w:rPr>
                <w:rFonts w:cstheme="minorHAnsi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2336" w:type="dxa"/>
          </w:tcPr>
          <w:p w14:paraId="28DF5981" w14:textId="69995734" w:rsidR="00011BB8" w:rsidRPr="00A869E7" w:rsidRDefault="00011BB8" w:rsidP="00011BB8">
            <w:pPr>
              <w:pStyle w:val="ListParagraph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69E7">
              <w:rPr>
                <w:rFonts w:cstheme="minorHAnsi"/>
                <w:color w:val="000000" w:themeColor="text1"/>
                <w:sz w:val="20"/>
                <w:szCs w:val="20"/>
              </w:rPr>
              <w:t>1.15</w:t>
            </w:r>
          </w:p>
        </w:tc>
        <w:tc>
          <w:tcPr>
            <w:tcW w:w="2336" w:type="dxa"/>
          </w:tcPr>
          <w:p w14:paraId="1B797D09" w14:textId="512A08F4" w:rsidR="00011BB8" w:rsidRPr="00A869E7" w:rsidRDefault="00011BB8" w:rsidP="00011BB8">
            <w:pPr>
              <w:pStyle w:val="ListParagraph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69E7">
              <w:rPr>
                <w:rFonts w:cstheme="minorHAnsi"/>
                <w:color w:val="000000" w:themeColor="text1"/>
                <w:sz w:val="20"/>
                <w:szCs w:val="20"/>
              </w:rPr>
              <w:t>1.20</w:t>
            </w:r>
          </w:p>
        </w:tc>
      </w:tr>
    </w:tbl>
    <w:p w14:paraId="5D03FACC" w14:textId="77777777" w:rsidR="00011BB8" w:rsidRPr="00A869E7" w:rsidRDefault="00011BB8" w:rsidP="00011BB8">
      <w:pPr>
        <w:pStyle w:val="ListParagraph"/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E3643CE" w14:textId="77777777" w:rsidR="00192E3D" w:rsidRPr="00A869E7" w:rsidRDefault="00192E3D" w:rsidP="00192E3D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20"/>
          <w:szCs w:val="20"/>
          <w:lang w:val="en-IE"/>
        </w:rPr>
      </w:pPr>
      <w:bookmarkStart w:id="1" w:name="_Hlk126252345"/>
      <w:r w:rsidRPr="00A869E7">
        <w:rPr>
          <w:color w:val="000000" w:themeColor="text1"/>
          <w:sz w:val="20"/>
          <w:szCs w:val="20"/>
          <w:lang w:val="en-IE"/>
        </w:rPr>
        <w:t>At the finals the 6/7 YO will be a handicap class with the 7YO jumping 5cm higher</w:t>
      </w:r>
    </w:p>
    <w:bookmarkEnd w:id="1"/>
    <w:p w14:paraId="75077199" w14:textId="77777777" w:rsidR="00E64F44" w:rsidRPr="00E64F44" w:rsidRDefault="00E64F44" w:rsidP="00E64F44">
      <w:pPr>
        <w:pStyle w:val="ListParagraph"/>
        <w:spacing w:line="240" w:lineRule="auto"/>
      </w:pPr>
    </w:p>
    <w:p w14:paraId="35AB81E1" w14:textId="279140B0" w:rsidR="009E107F" w:rsidRDefault="009E107F" w:rsidP="00084ED3">
      <w:pPr>
        <w:spacing w:line="240" w:lineRule="auto"/>
        <w:rPr>
          <w:b/>
          <w:bCs/>
          <w:color w:val="000000" w:themeColor="text1"/>
          <w:sz w:val="20"/>
          <w:szCs w:val="20"/>
          <w:lang w:val="en-IE"/>
        </w:rPr>
      </w:pPr>
      <w:r w:rsidRPr="00192E3D">
        <w:rPr>
          <w:b/>
          <w:bCs/>
          <w:color w:val="000000" w:themeColor="text1"/>
          <w:sz w:val="20"/>
          <w:szCs w:val="20"/>
          <w:lang w:val="en-IE"/>
        </w:rPr>
        <w:t xml:space="preserve">                                 </w:t>
      </w:r>
      <w:r w:rsidR="00084ED3" w:rsidRPr="00192E3D">
        <w:rPr>
          <w:b/>
          <w:bCs/>
          <w:color w:val="000000" w:themeColor="text1"/>
          <w:sz w:val="20"/>
          <w:szCs w:val="20"/>
          <w:lang w:val="en-IE"/>
        </w:rPr>
        <w:t xml:space="preserve">                                                                    </w:t>
      </w:r>
      <w:r w:rsidRPr="00192E3D">
        <w:rPr>
          <w:b/>
          <w:bCs/>
          <w:color w:val="000000" w:themeColor="text1"/>
          <w:sz w:val="20"/>
          <w:szCs w:val="20"/>
          <w:lang w:val="en-IE"/>
        </w:rPr>
        <w:t xml:space="preserve"> </w:t>
      </w:r>
    </w:p>
    <w:tbl>
      <w:tblPr>
        <w:tblW w:w="9533" w:type="dxa"/>
        <w:tblLook w:val="04A0" w:firstRow="1" w:lastRow="0" w:firstColumn="1" w:lastColumn="0" w:noHBand="0" w:noVBand="1"/>
      </w:tblPr>
      <w:tblGrid>
        <w:gridCol w:w="9255"/>
        <w:gridCol w:w="278"/>
      </w:tblGrid>
      <w:tr w:rsidR="00803DA7" w:rsidRPr="00803DA7" w14:paraId="604E5899" w14:textId="77777777" w:rsidTr="00A0204E">
        <w:trPr>
          <w:trHeight w:val="300"/>
        </w:trPr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D026" w14:textId="20243C88" w:rsidR="00803DA7" w:rsidRPr="00803DA7" w:rsidRDefault="00803DA7" w:rsidP="00803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IE" w:eastAsia="en-I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2F59" w14:textId="77777777" w:rsidR="00803DA7" w:rsidRPr="00803DA7" w:rsidRDefault="00803DA7" w:rsidP="00803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IE" w:eastAsia="en-IE"/>
              </w:rPr>
            </w:pPr>
          </w:p>
        </w:tc>
      </w:tr>
      <w:tr w:rsidR="00A0204E" w:rsidRPr="00803DA7" w14:paraId="5CE0725B" w14:textId="77777777" w:rsidTr="00115B4C">
        <w:trPr>
          <w:trHeight w:val="300"/>
        </w:trPr>
        <w:tc>
          <w:tcPr>
            <w:tcW w:w="925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</w:tcPr>
          <w:p w14:paraId="7F46D805" w14:textId="77777777" w:rsidR="00A0204E" w:rsidRPr="00803DA7" w:rsidRDefault="00A0204E" w:rsidP="00803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IE" w:eastAsia="en-I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A32EC" w14:textId="77777777" w:rsidR="00A0204E" w:rsidRPr="00803DA7" w:rsidRDefault="00A0204E" w:rsidP="00803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IE" w:eastAsia="en-IE"/>
              </w:rPr>
            </w:pPr>
          </w:p>
        </w:tc>
      </w:tr>
    </w:tbl>
    <w:p w14:paraId="0AB19B89" w14:textId="77777777" w:rsidR="00A60F0E" w:rsidRPr="00A60F0E" w:rsidRDefault="00A60F0E" w:rsidP="00A0204E">
      <w:pPr>
        <w:spacing w:line="240" w:lineRule="auto"/>
        <w:rPr>
          <w:lang w:val="en-IE"/>
        </w:rPr>
      </w:pPr>
    </w:p>
    <w:sectPr w:rsidR="00A60F0E" w:rsidRPr="00A60F0E" w:rsidSect="00E45C48">
      <w:pgSz w:w="11906" w:h="16838"/>
      <w:pgMar w:top="510" w:right="1361" w:bottom="51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E4A7A"/>
    <w:multiLevelType w:val="hybridMultilevel"/>
    <w:tmpl w:val="BDD0563A"/>
    <w:lvl w:ilvl="0" w:tplc="849CFB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06A15"/>
    <w:multiLevelType w:val="hybridMultilevel"/>
    <w:tmpl w:val="D4F4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656C0"/>
    <w:multiLevelType w:val="hybridMultilevel"/>
    <w:tmpl w:val="3DD8F0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CDD9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D44E3"/>
    <w:multiLevelType w:val="hybridMultilevel"/>
    <w:tmpl w:val="D4127660"/>
    <w:lvl w:ilvl="0" w:tplc="CF4E6294">
      <w:numFmt w:val="bullet"/>
      <w:lvlText w:val="-"/>
      <w:lvlJc w:val="left"/>
      <w:pPr>
        <w:ind w:left="116" w:hanging="116"/>
      </w:pPr>
      <w:rPr>
        <w:rFonts w:ascii="Liberation Serif" w:eastAsia="Liberation Serif" w:hAnsi="Liberation Serif" w:cs="Liberation Serif" w:hint="default"/>
        <w:w w:val="100"/>
        <w:sz w:val="20"/>
        <w:szCs w:val="20"/>
        <w:lang w:val="en-US" w:eastAsia="en-US" w:bidi="ar-SA"/>
      </w:rPr>
    </w:lvl>
    <w:lvl w:ilvl="1" w:tplc="2D00E80A">
      <w:numFmt w:val="bullet"/>
      <w:lvlText w:val="•"/>
      <w:lvlJc w:val="left"/>
      <w:pPr>
        <w:ind w:left="1092" w:hanging="116"/>
      </w:pPr>
      <w:rPr>
        <w:lang w:val="en-US" w:eastAsia="en-US" w:bidi="ar-SA"/>
      </w:rPr>
    </w:lvl>
    <w:lvl w:ilvl="2" w:tplc="587040F4">
      <w:numFmt w:val="bullet"/>
      <w:lvlText w:val="•"/>
      <w:lvlJc w:val="left"/>
      <w:pPr>
        <w:ind w:left="2064" w:hanging="116"/>
      </w:pPr>
      <w:rPr>
        <w:lang w:val="en-US" w:eastAsia="en-US" w:bidi="ar-SA"/>
      </w:rPr>
    </w:lvl>
    <w:lvl w:ilvl="3" w:tplc="2498500E">
      <w:numFmt w:val="bullet"/>
      <w:lvlText w:val="•"/>
      <w:lvlJc w:val="left"/>
      <w:pPr>
        <w:ind w:left="3036" w:hanging="116"/>
      </w:pPr>
      <w:rPr>
        <w:lang w:val="en-US" w:eastAsia="en-US" w:bidi="ar-SA"/>
      </w:rPr>
    </w:lvl>
    <w:lvl w:ilvl="4" w:tplc="89424C52">
      <w:numFmt w:val="bullet"/>
      <w:lvlText w:val="•"/>
      <w:lvlJc w:val="left"/>
      <w:pPr>
        <w:ind w:left="4008" w:hanging="116"/>
      </w:pPr>
      <w:rPr>
        <w:lang w:val="en-US" w:eastAsia="en-US" w:bidi="ar-SA"/>
      </w:rPr>
    </w:lvl>
    <w:lvl w:ilvl="5" w:tplc="58ECD0AC">
      <w:numFmt w:val="bullet"/>
      <w:lvlText w:val="•"/>
      <w:lvlJc w:val="left"/>
      <w:pPr>
        <w:ind w:left="4980" w:hanging="116"/>
      </w:pPr>
      <w:rPr>
        <w:lang w:val="en-US" w:eastAsia="en-US" w:bidi="ar-SA"/>
      </w:rPr>
    </w:lvl>
    <w:lvl w:ilvl="6" w:tplc="FCE20726">
      <w:numFmt w:val="bullet"/>
      <w:lvlText w:val="•"/>
      <w:lvlJc w:val="left"/>
      <w:pPr>
        <w:ind w:left="5952" w:hanging="116"/>
      </w:pPr>
      <w:rPr>
        <w:lang w:val="en-US" w:eastAsia="en-US" w:bidi="ar-SA"/>
      </w:rPr>
    </w:lvl>
    <w:lvl w:ilvl="7" w:tplc="969A1DF4">
      <w:numFmt w:val="bullet"/>
      <w:lvlText w:val="•"/>
      <w:lvlJc w:val="left"/>
      <w:pPr>
        <w:ind w:left="6924" w:hanging="116"/>
      </w:pPr>
      <w:rPr>
        <w:lang w:val="en-US" w:eastAsia="en-US" w:bidi="ar-SA"/>
      </w:rPr>
    </w:lvl>
    <w:lvl w:ilvl="8" w:tplc="918ADB1E">
      <w:numFmt w:val="bullet"/>
      <w:lvlText w:val="•"/>
      <w:lvlJc w:val="left"/>
      <w:pPr>
        <w:ind w:left="7896" w:hanging="116"/>
      </w:pPr>
      <w:rPr>
        <w:lang w:val="en-US" w:eastAsia="en-US" w:bidi="ar-SA"/>
      </w:rPr>
    </w:lvl>
  </w:abstractNum>
  <w:abstractNum w:abstractNumId="4" w15:restartNumberingAfterBreak="0">
    <w:nsid w:val="7230765D"/>
    <w:multiLevelType w:val="hybridMultilevel"/>
    <w:tmpl w:val="E8163C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84F4C"/>
    <w:multiLevelType w:val="hybridMultilevel"/>
    <w:tmpl w:val="06AAFC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AF5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color w:val="1F497D" w:themeColor="text2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52132"/>
    <w:multiLevelType w:val="hybridMultilevel"/>
    <w:tmpl w:val="B11E81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212781">
    <w:abstractNumId w:val="1"/>
  </w:num>
  <w:num w:numId="2" w16cid:durableId="791216198">
    <w:abstractNumId w:val="2"/>
  </w:num>
  <w:num w:numId="3" w16cid:durableId="192501896">
    <w:abstractNumId w:val="3"/>
  </w:num>
  <w:num w:numId="4" w16cid:durableId="1657611898">
    <w:abstractNumId w:val="0"/>
  </w:num>
  <w:num w:numId="5" w16cid:durableId="819224384">
    <w:abstractNumId w:val="5"/>
  </w:num>
  <w:num w:numId="6" w16cid:durableId="1519661722">
    <w:abstractNumId w:val="4"/>
  </w:num>
  <w:num w:numId="7" w16cid:durableId="7260768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C5"/>
    <w:rsid w:val="00011BB8"/>
    <w:rsid w:val="0002797D"/>
    <w:rsid w:val="00065132"/>
    <w:rsid w:val="00084ED3"/>
    <w:rsid w:val="000D4069"/>
    <w:rsid w:val="000E4F53"/>
    <w:rsid w:val="00115B4C"/>
    <w:rsid w:val="00192E3D"/>
    <w:rsid w:val="001E63D3"/>
    <w:rsid w:val="001F024D"/>
    <w:rsid w:val="001F573C"/>
    <w:rsid w:val="002A6F32"/>
    <w:rsid w:val="00346DAB"/>
    <w:rsid w:val="004C58F5"/>
    <w:rsid w:val="004E06C8"/>
    <w:rsid w:val="004E2ED2"/>
    <w:rsid w:val="005601ED"/>
    <w:rsid w:val="006629C0"/>
    <w:rsid w:val="007A33C5"/>
    <w:rsid w:val="007B3DAB"/>
    <w:rsid w:val="00803DA7"/>
    <w:rsid w:val="00866F0B"/>
    <w:rsid w:val="008C3F2A"/>
    <w:rsid w:val="009E107F"/>
    <w:rsid w:val="00A0204E"/>
    <w:rsid w:val="00A0464E"/>
    <w:rsid w:val="00A60F0E"/>
    <w:rsid w:val="00A869E7"/>
    <w:rsid w:val="00A97424"/>
    <w:rsid w:val="00C00393"/>
    <w:rsid w:val="00C61C45"/>
    <w:rsid w:val="00C7760A"/>
    <w:rsid w:val="00CF3B68"/>
    <w:rsid w:val="00D36DBF"/>
    <w:rsid w:val="00D92B0D"/>
    <w:rsid w:val="00DA3573"/>
    <w:rsid w:val="00DE24BF"/>
    <w:rsid w:val="00E45C48"/>
    <w:rsid w:val="00E64F44"/>
    <w:rsid w:val="00F066FD"/>
    <w:rsid w:val="00F06D38"/>
    <w:rsid w:val="00F53210"/>
    <w:rsid w:val="00F71606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9866"/>
  <w15:chartTrackingRefBased/>
  <w15:docId w15:val="{34C7EC7D-7BA1-404B-BA1B-9B5F983A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semiHidden/>
    <w:unhideWhenUsed/>
    <w:qFormat/>
    <w:rsid w:val="00F71606"/>
    <w:pPr>
      <w:widowControl w:val="0"/>
      <w:autoSpaceDE w:val="0"/>
      <w:autoSpaceDN w:val="0"/>
      <w:spacing w:before="1" w:after="0" w:line="240" w:lineRule="auto"/>
      <w:ind w:left="115"/>
      <w:outlineLvl w:val="4"/>
    </w:pPr>
    <w:rPr>
      <w:rFonts w:ascii="Liberation Serif" w:eastAsia="Liberation Serif" w:hAnsi="Liberation Serif" w:cs="Liberation Serif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A33C5"/>
    <w:pPr>
      <w:ind w:left="720"/>
      <w:contextualSpacing/>
    </w:pPr>
  </w:style>
  <w:style w:type="character" w:customStyle="1" w:styleId="wysiwyg-font-size-12">
    <w:name w:val="wysiwyg-font-size-12"/>
    <w:basedOn w:val="DefaultParagraphFont"/>
    <w:rsid w:val="004E06C8"/>
  </w:style>
  <w:style w:type="character" w:customStyle="1" w:styleId="Heading5Char">
    <w:name w:val="Heading 5 Char"/>
    <w:basedOn w:val="DefaultParagraphFont"/>
    <w:link w:val="Heading5"/>
    <w:uiPriority w:val="9"/>
    <w:semiHidden/>
    <w:rsid w:val="00F71606"/>
    <w:rPr>
      <w:rFonts w:ascii="Liberation Serif" w:eastAsia="Liberation Serif" w:hAnsi="Liberation Serif" w:cs="Liberation Serif"/>
      <w:b/>
      <w:bCs/>
      <w:i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716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Fagan</dc:creator>
  <cp:keywords/>
  <dc:description/>
  <cp:lastModifiedBy>dorothyokeeffe@outlook.com</cp:lastModifiedBy>
  <cp:revision>13</cp:revision>
  <cp:lastPrinted>2023-02-17T12:56:00Z</cp:lastPrinted>
  <dcterms:created xsi:type="dcterms:W3CDTF">2023-02-02T18:02:00Z</dcterms:created>
  <dcterms:modified xsi:type="dcterms:W3CDTF">2023-02-17T12:56:00Z</dcterms:modified>
</cp:coreProperties>
</file>